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ZAGREBAČKA ŽUPANIJA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OPĆINA BRCKOVLJANI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Općinsko poglavarstvo</w:t>
      </w:r>
    </w:p>
    <w:p w:rsidR="00DC1C37" w:rsidRPr="00DC1C37" w:rsidRDefault="00DC1C37" w:rsidP="00DC1C37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Na temelju članka 38. Zakona o proračunu (Narodne novine broj 96/03), te na temelju članka 29. Statuta općine Brckovljani (Službeni glasnik Općine Brckovljani broj 05/01.) Općinsko Poglavarstvo općine Brckovljani na svojoj 44. sjednici održanoj 30.12.2004. godine donosi</w:t>
      </w:r>
    </w:p>
    <w:p w:rsidR="00DC1C37" w:rsidRPr="00DC1C37" w:rsidRDefault="00DC1C37" w:rsidP="00DC1C3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ODLUKU </w:t>
      </w:r>
      <w:r w:rsidRPr="00DC1C3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PRERASPODJELI SREDSTAVA UNUTAR </w:t>
      </w:r>
      <w:r w:rsidRPr="00DC1C3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POZICIJA PRORAČUNA OPĆINE BRCKOVLJANI ZA 2004. GODINU</w:t>
      </w:r>
    </w:p>
    <w:p w:rsidR="00DC1C37" w:rsidRPr="00DC1C37" w:rsidRDefault="00DC1C37" w:rsidP="00DC1C3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DC1C37" w:rsidRPr="00DC1C37" w:rsidRDefault="00DC1C37" w:rsidP="00DC1C3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1. Na poz. 57. raspoređuje se iznos od 87.500,00 kuna i to:</w:t>
      </w:r>
    </w:p>
    <w:tbl>
      <w:tblPr>
        <w:tblW w:w="4395" w:type="dxa"/>
        <w:tblCellSpacing w:w="0" w:type="dxa"/>
        <w:tblInd w:w="13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0"/>
        <w:gridCol w:w="2285"/>
      </w:tblGrid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34.000,00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4.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3.500,00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6.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3.000,00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9.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2.000,00 kn,</w:t>
            </w:r>
          </w:p>
        </w:tc>
      </w:tr>
      <w:tr w:rsidR="00DC1C37" w:rsidRPr="00DC1C37" w:rsidTr="00DC1C37">
        <w:trPr>
          <w:trHeight w:val="22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17.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2.000,00 kn,</w:t>
            </w:r>
          </w:p>
        </w:tc>
      </w:tr>
      <w:tr w:rsidR="00DC1C37" w:rsidRPr="00DC1C37" w:rsidTr="00DC1C37">
        <w:trPr>
          <w:trHeight w:val="7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116.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34.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5.000,00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49.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1.500,00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123.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4.000,00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52.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53.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5.000,00 kn,</w:t>
            </w:r>
          </w:p>
        </w:tc>
      </w:tr>
      <w:tr w:rsidR="00DC1C37" w:rsidRPr="00DC1C37" w:rsidTr="00DC1C37">
        <w:trPr>
          <w:trHeight w:val="16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55.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59.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3.000,00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61.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5.000,00 kn,</w:t>
            </w:r>
          </w:p>
        </w:tc>
      </w:tr>
      <w:tr w:rsidR="00DC1C37" w:rsidRPr="00DC1C37" w:rsidTr="00DC1C37">
        <w:trPr>
          <w:trHeight w:val="21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78.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6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99.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126.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14.500,00 kn;</w:t>
            </w:r>
          </w:p>
        </w:tc>
      </w:tr>
    </w:tbl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2. Na poz. 73. raspoređuje se iznos od 500,00 kuna sa poz. 5;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3. Na poz. 21. raspoređuje se iznos od 2.400,00 kuna i to:</w:t>
      </w:r>
    </w:p>
    <w:tbl>
      <w:tblPr>
        <w:tblW w:w="4395" w:type="dxa"/>
        <w:tblCellSpacing w:w="0" w:type="dxa"/>
        <w:tblInd w:w="13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0"/>
        <w:gridCol w:w="2285"/>
      </w:tblGrid>
      <w:tr w:rsidR="00DC1C37" w:rsidRPr="00DC1C37" w:rsidTr="00DC1C37">
        <w:trPr>
          <w:trHeight w:val="21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10.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500,00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12.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14.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500,00 kn,</w:t>
            </w:r>
          </w:p>
        </w:tc>
      </w:tr>
      <w:tr w:rsidR="00DC1C37" w:rsidRPr="00DC1C37" w:rsidTr="00DC1C37">
        <w:trPr>
          <w:trHeight w:val="16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16.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400,00 kn;</w:t>
            </w:r>
          </w:p>
        </w:tc>
      </w:tr>
    </w:tbl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4. Na poz. 24. raspoređuje se iznos od 9.000,00 kuna i to:</w:t>
      </w:r>
    </w:p>
    <w:tbl>
      <w:tblPr>
        <w:tblW w:w="4395" w:type="dxa"/>
        <w:tblCellSpacing w:w="0" w:type="dxa"/>
        <w:tblInd w:w="13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0"/>
        <w:gridCol w:w="2285"/>
      </w:tblGrid>
      <w:tr w:rsidR="00DC1C37" w:rsidRPr="00DC1C37" w:rsidTr="00DC1C37">
        <w:trPr>
          <w:trHeight w:val="15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25.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1.500,00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26.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3.000,00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117.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32.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 sa poz. 35.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5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37.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1.500,00 kn;</w:t>
            </w:r>
          </w:p>
        </w:tc>
      </w:tr>
    </w:tbl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5. Na poz. 38. raspoređuje se iznos od 1.000,00 kuna sa poz. 38;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6. Na poz. 51. raspoređuje se iznos od 2.000,00 kuna i to:</w:t>
      </w:r>
    </w:p>
    <w:tbl>
      <w:tblPr>
        <w:tblW w:w="4395" w:type="dxa"/>
        <w:tblCellSpacing w:w="0" w:type="dxa"/>
        <w:tblInd w:w="13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0"/>
        <w:gridCol w:w="2285"/>
      </w:tblGrid>
      <w:tr w:rsidR="00DC1C37" w:rsidRPr="00DC1C37" w:rsidTr="00DC1C37">
        <w:trPr>
          <w:trHeight w:val="21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46.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47.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kn;</w:t>
            </w:r>
          </w:p>
        </w:tc>
      </w:tr>
    </w:tbl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7. Na poz. 107. raspoređuje se iznos od 12.000,00 kuna i to:</w:t>
      </w:r>
    </w:p>
    <w:tbl>
      <w:tblPr>
        <w:tblW w:w="4395" w:type="dxa"/>
        <w:tblCellSpacing w:w="0" w:type="dxa"/>
        <w:tblInd w:w="13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0"/>
        <w:gridCol w:w="2285"/>
      </w:tblGrid>
      <w:tr w:rsidR="00DC1C37" w:rsidRPr="00DC1C37" w:rsidTr="00DC1C37">
        <w:trPr>
          <w:trHeight w:val="16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101.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4.000,00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102.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4.000,00 kn,</w:t>
            </w:r>
          </w:p>
        </w:tc>
      </w:tr>
      <w:tr w:rsidR="00DC1C37" w:rsidRPr="00DC1C37" w:rsidTr="00DC1C37">
        <w:trPr>
          <w:trHeight w:val="195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103.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3.000,00 kn,</w:t>
            </w:r>
          </w:p>
        </w:tc>
      </w:tr>
      <w:tr w:rsidR="00DC1C37" w:rsidRPr="00DC1C37" w:rsidTr="00DC1C37">
        <w:trPr>
          <w:trHeight w:val="180"/>
          <w:tblCellSpacing w:w="0" w:type="dxa"/>
        </w:trPr>
        <w:tc>
          <w:tcPr>
            <w:tcW w:w="24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- sa poz. 110.</w:t>
            </w:r>
          </w:p>
        </w:tc>
        <w:tc>
          <w:tcPr>
            <w:tcW w:w="2600" w:type="pct"/>
            <w:hideMark/>
          </w:tcPr>
          <w:p w:rsidR="00DC1C37" w:rsidRPr="00DC1C37" w:rsidRDefault="00DC1C37" w:rsidP="00DC1C3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37">
              <w:rPr>
                <w:rFonts w:ascii="Arial" w:eastAsia="Times New Roman" w:hAnsi="Arial" w:cs="Arial"/>
                <w:sz w:val="20"/>
                <w:szCs w:val="20"/>
              </w:rPr>
              <w:t>1.000,00 kn;</w:t>
            </w:r>
          </w:p>
        </w:tc>
      </w:tr>
    </w:tbl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8. Na poz. 7. raspoređuje se iznos od 2.000,00 kuna sa poz. 110;</w:t>
      </w:r>
    </w:p>
    <w:p w:rsidR="00DC1C37" w:rsidRPr="00DC1C37" w:rsidRDefault="00DC1C37" w:rsidP="00DC1C3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prilaže se Proračunu općine Brckovljani za 2004. godinu, a objavit će se u Službenom glasniku Općine Brckovljani.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Klasa: 400-08/03-01/23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Ur. broj: 238/04-04-8</w:t>
      </w:r>
    </w:p>
    <w:p w:rsidR="00DC1C37" w:rsidRPr="00DC1C37" w:rsidRDefault="00DC1C37" w:rsidP="00DC1C3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Dugo Selo, 30.12.2004.</w:t>
      </w:r>
    </w:p>
    <w:p w:rsidR="00DC1C37" w:rsidRPr="00DC1C37" w:rsidRDefault="00DC1C37" w:rsidP="00DC1C37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C1C37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DC1C37">
        <w:rPr>
          <w:rFonts w:ascii="Arial" w:eastAsia="Times New Roman" w:hAnsi="Arial" w:cs="Arial"/>
          <w:color w:val="000000"/>
          <w:sz w:val="20"/>
          <w:szCs w:val="20"/>
        </w:rPr>
        <w:br/>
        <w:t>Općinskog poglavarstva</w:t>
      </w:r>
      <w:r w:rsidRPr="00DC1C37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DC1C3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C1C37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</w:t>
      </w:r>
    </w:p>
    <w:p w:rsidR="00686878" w:rsidRDefault="00686878"/>
    <w:sectPr w:rsidR="0068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C1C37"/>
    <w:rsid w:val="00686878"/>
    <w:rsid w:val="00DC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C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DC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C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C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C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2016-07-19T19:58:00Z</dcterms:created>
  <dcterms:modified xsi:type="dcterms:W3CDTF">2016-07-19T19:58:00Z</dcterms:modified>
</cp:coreProperties>
</file>